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uasubd9r06sb" w:id="0"/>
      <w:bookmarkEnd w:id="0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Ecological Sustainability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s34icvxu8cu5" w:id="1"/>
      <w:bookmarkEnd w:id="1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To consider the impact on ecological sustainability of all our decisions. To look beyond the co-op to the future of our species and the planet to recognize our interdependence, and to look inside the co-op to ensure the health, safety and comfort of members.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8h4j4a62fdsx" w:id="2"/>
      <w:bookmarkEnd w:id="2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Policy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View Court will: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1. Strive to eliminate our community's dependence on non-renewable resources and reduce wastefulness.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2. Strive to eliminate our community's exposure to substances that have negative impacts on humans or our environment. (2007-4-24)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47ayomndoglr" w:id="3"/>
      <w:bookmarkEnd w:id="3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Procedures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Strategies refer to each policy by number, first assessing our current situation and second suggesting a way forward. Examples for some strategies are included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Policy 1.  Assessing where we are: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hyperlink r:id="rId5">
        <w:r w:rsidDel="00000000" w:rsidR="00000000" w:rsidRPr="00000000">
          <w:rPr>
            <w:b w:val="1"/>
            <w:color w:val="ed5100"/>
            <w:sz w:val="16"/>
            <w:szCs w:val="16"/>
            <w:highlight w:val="white"/>
            <w:rtl w:val="0"/>
          </w:rPr>
          <w:t xml:space="preserve">identify wasteful practices 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review strategic plans, policies and procedures to ensure adherence with green policy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identify ecological sustainability </w:t>
      </w:r>
      <w:hyperlink r:id="rId7">
        <w:r w:rsidDel="00000000" w:rsidR="00000000" w:rsidRPr="00000000">
          <w:rPr>
            <w:b w:val="1"/>
            <w:color w:val="ed5100"/>
            <w:sz w:val="16"/>
            <w:szCs w:val="16"/>
            <w:highlight w:val="white"/>
            <w:rtl w:val="0"/>
          </w:rPr>
          <w:t xml:space="preserve">indicators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and establish benchmarks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research LEEDS and other standards for tools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Moving forward: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increase the thermal efficiency of the building </w:t>
      </w:r>
      <w:hyperlink r:id="rId8">
        <w:r w:rsidDel="00000000" w:rsidR="00000000" w:rsidRPr="00000000">
          <w:rPr>
            <w:b w:val="1"/>
            <w:color w:val="ed5100"/>
            <w:sz w:val="16"/>
            <w:szCs w:val="16"/>
            <w:highlight w:val="white"/>
            <w:rtl w:val="0"/>
          </w:rPr>
          <w:t xml:space="preserve">using repair and renovation opportunities</w:t>
        </w:r>
      </w:hyperlink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educate and facilitate members ability to reduce, reuse, recycle, and refuse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encourage cost and resource sharing as a way to enhance ecological sustainability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Policy 2.  Assessing where we are: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identify harmful substances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identify harmful practices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identify safe alternatives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Moving forward: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improve indoor environmental quality through ventilation, exhaust, and choice of materials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provide alternative substances and products for members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educate members to encourage healthy, safe practices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Examples: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review strategic plans, policies and procedures to ensure adherence with green policy. 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(eg. boiler selection 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identify ecological sustainability indicators and establish benchmarks 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(eg. hydro, gas, water usage)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improve indoor environmental quality through ventilation, exhaust, and choice of materials 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(eg. use low or no VOC [smelly!] paints)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provide alternative substances and products for members 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(eg. always buy Energystar appliances, low-flow toilets)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educate members to encourage healthy, safe practices 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(eg. bike maintance bee)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viewcourt.vcn.bc.ca/eco-sustainability/identify-wasteful-practices" TargetMode="External"/><Relationship Id="rId6" Type="http://schemas.openxmlformats.org/officeDocument/2006/relationships/hyperlink" Target="http://viewcourt.vcn.bc.ca/eco-sustainability/identify-wasteful-practices" TargetMode="External"/><Relationship Id="rId7" Type="http://schemas.openxmlformats.org/officeDocument/2006/relationships/hyperlink" Target="http://viewcourt.vcn.bc.ca/eco-indicators" TargetMode="External"/><Relationship Id="rId8" Type="http://schemas.openxmlformats.org/officeDocument/2006/relationships/hyperlink" Target="http://viewcourt.vcn.bc.ca/eco-sustainability/thermal-efficiency" TargetMode="External"/></Relationships>
</file>