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Investment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The co-op will invest a portion of the Replacement Reserve Fund (RRF) in an investment portfolio that:</w:t>
      </w:r>
    </w:p>
    <w:p w:rsidR="00000000" w:rsidDel="00000000" w:rsidP="00000000" w:rsidRDefault="00000000" w:rsidRPr="00000000">
      <w:pPr>
        <w:contextualSpacing w:val="0"/>
      </w:pPr>
      <w:r w:rsidDel="00000000" w:rsidR="00000000" w:rsidRPr="00000000">
        <w:rPr>
          <w:rtl w:val="0"/>
        </w:rPr>
        <w:t xml:space="preserve"> </w:t>
        <w:tab/>
        <w:t xml:space="preserve">a) has a low to moderate risk level to ensure no loss to the value of the principle investment.</w:t>
      </w:r>
    </w:p>
    <w:p w:rsidR="00000000" w:rsidDel="00000000" w:rsidP="00000000" w:rsidRDefault="00000000" w:rsidRPr="00000000">
      <w:pPr>
        <w:contextualSpacing w:val="0"/>
      </w:pPr>
      <w:r w:rsidDel="00000000" w:rsidR="00000000" w:rsidRPr="00000000">
        <w:rPr>
          <w:rtl w:val="0"/>
        </w:rPr>
        <w:t xml:space="preserve"> </w:t>
        <w:tab/>
        <w:t xml:space="preserve">b) includes short (less than 2 years), medium (2-5 years), and long-term (greater than 5 years) investments.</w:t>
      </w:r>
    </w:p>
    <w:p w:rsidR="00000000" w:rsidDel="00000000" w:rsidP="00000000" w:rsidRDefault="00000000" w:rsidRPr="00000000">
      <w:pPr>
        <w:contextualSpacing w:val="0"/>
      </w:pPr>
      <w:r w:rsidDel="00000000" w:rsidR="00000000" w:rsidRPr="00000000">
        <w:rPr>
          <w:rtl w:val="0"/>
        </w:rPr>
        <w:t xml:space="preserve"> </w:t>
        <w:tab/>
        <w:t xml:space="preserve">c) is ethical and environmentally responsible/sustainable, as determined by The Board, The Finance Committee, and Members.</w:t>
      </w:r>
    </w:p>
    <w:p w:rsidR="00000000" w:rsidDel="00000000" w:rsidP="00000000" w:rsidRDefault="00000000" w:rsidRPr="00000000">
      <w:pPr>
        <w:contextualSpacing w:val="0"/>
      </w:pPr>
      <w:r w:rsidDel="00000000" w:rsidR="00000000" w:rsidRPr="00000000">
        <w:rPr>
          <w:rtl w:val="0"/>
        </w:rPr>
        <w:t xml:space="preserve"> </w:t>
        <w:tab/>
        <w:t xml:space="preserve">d) is sufficiently diversified to ensure economic stability and predictability.</w:t>
      </w:r>
    </w:p>
    <w:p w:rsidR="00000000" w:rsidDel="00000000" w:rsidP="00000000" w:rsidRDefault="00000000" w:rsidRPr="00000000">
      <w:pPr>
        <w:contextualSpacing w:val="0"/>
      </w:pPr>
      <w:r w:rsidDel="00000000" w:rsidR="00000000" w:rsidRPr="00000000">
        <w:rPr>
          <w:rtl w:val="0"/>
        </w:rPr>
        <w:t xml:space="preserve">2) The Board will consult, collaborate, and communicate with the Finance Committee and Members when making investment decisions, including what portion of the RRF is to be invested at any given time.</w:t>
      </w:r>
    </w:p>
    <w:p w:rsidR="00000000" w:rsidDel="00000000" w:rsidP="00000000" w:rsidRDefault="00000000" w:rsidRPr="00000000">
      <w:pPr>
        <w:contextualSpacing w:val="0"/>
      </w:pPr>
      <w:r w:rsidDel="00000000" w:rsidR="00000000" w:rsidRPr="00000000">
        <w:rPr>
          <w:rtl w:val="0"/>
        </w:rPr>
        <w:t xml:space="preserve">3) The Board, in collaboration with the Finance Committee, will review investments at least once annually with the assistance of a registered financial advisor.</w:t>
      </w:r>
    </w:p>
    <w:p w:rsidR="00000000" w:rsidDel="00000000" w:rsidP="00000000" w:rsidRDefault="00000000" w:rsidRPr="00000000">
      <w:pPr>
        <w:contextualSpacing w:val="0"/>
      </w:pPr>
      <w:r w:rsidDel="00000000" w:rsidR="00000000" w:rsidRPr="00000000">
        <w:rPr>
          <w:rtl w:val="0"/>
        </w:rPr>
        <w:t xml:space="preserve">4) Investment portfolio statements shall be circulated regularly amongst all members of the Board and Finance Committee, and made available to any Member upon request, and be presented/reported annually to the general membership at the Budget General Meeting (BGM).</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