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p9zyzvkp4oj1" w:id="0"/>
      <w:bookmarkEnd w:id="0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Meeting Etiquette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tlbo6g1r63ag" w:id="1"/>
      <w:bookmarkEnd w:id="1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Meeting agreements establish expectations of social behaviour. Their use will improve View Court meetings.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572z9efq8nr" w:id="2"/>
      <w:bookmarkEnd w:id="2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Policy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One person speaks at a 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Interruptions/crosstalk are discouraged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comments are concise and to the point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All comments and behaviours are respectful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Judgments are discouraged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Speak about issues, not about people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Speak for ourselves, not for others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Listen open and actively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Share speaking 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Laugh and enjoy!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(2008-1-29)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20" w:before="480" w:lineRule="auto"/>
        <w:contextualSpacing w:val="0"/>
      </w:pPr>
      <w:bookmarkStart w:colFirst="0" w:colLast="0" w:name="h.re4fst484fyg" w:id="3"/>
      <w:bookmarkEnd w:id="3"/>
      <w:r w:rsidDel="00000000" w:rsidR="00000000" w:rsidRPr="00000000">
        <w:rPr>
          <w:rFonts w:ascii="Verdana" w:cs="Verdana" w:eastAsia="Verdana" w:hAnsi="Verdana"/>
          <w:color w:val="ed5100"/>
          <w:sz w:val="28"/>
          <w:szCs w:val="28"/>
          <w:highlight w:val="white"/>
          <w:rtl w:val="0"/>
        </w:rPr>
        <w:t xml:space="preserve">Procedures needed to carry out this 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1. Instructions on how to use a meeting agreement and a printed copy of this sample agreement for committees.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