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Rule="auto"/>
        <w:contextualSpacing w:val="0"/>
      </w:pPr>
      <w:bookmarkStart w:colFirst="0" w:colLast="0" w:name="h.er4gertnituc" w:id="0"/>
      <w:bookmarkEnd w:id="0"/>
      <w:r w:rsidDel="00000000" w:rsidR="00000000" w:rsidRPr="00000000">
        <w:rPr>
          <w:rFonts w:ascii="Arial" w:cs="Arial" w:eastAsia="Arial" w:hAnsi="Arial"/>
          <w:b w:val="0"/>
          <w:color w:val="ed5100"/>
          <w:sz w:val="24"/>
          <w:szCs w:val="24"/>
          <w:highlight w:val="white"/>
          <w:rtl w:val="0"/>
        </w:rPr>
        <w:t xml:space="preserve">View Court Policy Manual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Policies are the agreements we have with each other that enable us to discuss behavior.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Each section of the online policy manual has a menu title on the left, pointing to a page with the "job description" of the Board or committee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When clicked, sub-page menu titles appear for each policy area within the committee's area of responsibility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Unapproved (DRAFT) policies have a comments message board beneath them - please leave your comments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After General Meeting approval the, now active, policies show date of approval in brackets at the end of the policy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5.511811023624" w:type="dxa"/>
        <w:jc w:val="left"/>
        <w:tblLayout w:type="fixed"/>
        <w:tblLook w:val="0600"/>
      </w:tblPr>
      <w:tblGrid>
        <w:gridCol w:w="4111.146770160839"/>
        <w:gridCol w:w="1017.0929581669591"/>
        <w:gridCol w:w="3897.272082695825"/>
        <w:tblGridChange w:id="0">
          <w:tblGrid>
            <w:gridCol w:w="4111.146770160839"/>
            <w:gridCol w:w="1017.0929581669591"/>
            <w:gridCol w:w="3897.272082695825"/>
          </w:tblGrid>
        </w:tblGridChange>
      </w:tblGrid>
      <w:tr>
        <w:tc>
          <w:tcPr>
            <w:tcBorders>
              <w:top w:color="fd823e" w:space="0" w:sz="6" w:val="dotted"/>
              <w:left w:color="fd823e" w:space="0" w:sz="6" w:val="dotted"/>
            </w:tcBorders>
            <w:shd w:fill="fff9f5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d823e" w:space="0" w:sz="6" w:val="dotted"/>
              <w:left w:color="fd823e" w:space="0" w:sz="6" w:val="dotted"/>
            </w:tcBorders>
            <w:shd w:fill="fff9f5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d823e" w:space="0" w:sz="6" w:val="dotted"/>
              <w:left w:color="fd823e" w:space="0" w:sz="6" w:val="dotted"/>
            </w:tcBorders>
            <w:shd w:fill="fff9f5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Rule="auto"/>
        <w:contextualSpacing w:val="0"/>
      </w:pPr>
      <w:bookmarkStart w:colFirst="0" w:colLast="0" w:name="h.ldv3ij9yktlq" w:id="1"/>
      <w:bookmarkEnd w:id="1"/>
      <w:r w:rsidDel="00000000" w:rsidR="00000000" w:rsidRPr="00000000">
        <w:rPr>
          <w:rFonts w:ascii="Arial" w:cs="Arial" w:eastAsia="Arial" w:hAnsi="Arial"/>
          <w:b w:val="0"/>
          <w:color w:val="ed5100"/>
          <w:sz w:val="24"/>
          <w:szCs w:val="24"/>
          <w:highlight w:val="white"/>
          <w:rtl w:val="0"/>
        </w:rPr>
        <w:t xml:space="preserve">Policy resources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Policy must comply with the </w:t>
      </w:r>
      <w:hyperlink r:id="rId5">
        <w:r w:rsidDel="00000000" w:rsidR="00000000" w:rsidRPr="00000000">
          <w:rPr>
            <w:b w:val="1"/>
            <w:color w:val="ed5100"/>
            <w:sz w:val="16"/>
            <w:szCs w:val="16"/>
            <w:highlight w:val="white"/>
            <w:rtl w:val="0"/>
          </w:rPr>
          <w:t xml:space="preserve">Co-operative Association Act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 and the View Court </w:t>
      </w:r>
      <w:hyperlink r:id="rId6">
        <w:r w:rsidDel="00000000" w:rsidR="00000000" w:rsidRPr="00000000">
          <w:rPr>
            <w:b w:val="1"/>
            <w:color w:val="ed5100"/>
            <w:sz w:val="16"/>
            <w:szCs w:val="16"/>
            <w:highlight w:val="white"/>
            <w:rtl w:val="0"/>
          </w:rPr>
          <w:t xml:space="preserve">Rules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 and </w:t>
      </w:r>
      <w:hyperlink r:id="rId7">
        <w:r w:rsidDel="00000000" w:rsidR="00000000" w:rsidRPr="00000000">
          <w:rPr>
            <w:b w:val="1"/>
            <w:color w:val="ed5100"/>
            <w:sz w:val="16"/>
            <w:szCs w:val="16"/>
            <w:highlight w:val="white"/>
            <w:rtl w:val="0"/>
          </w:rPr>
          <w:t xml:space="preserve">Occupancy Agreement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 and be approved at a View Court General Meeting;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This policy manual is based on </w:t>
      </w:r>
      <w:hyperlink r:id="rId8">
        <w:r w:rsidDel="00000000" w:rsidR="00000000" w:rsidRPr="00000000">
          <w:rPr>
            <w:b w:val="1"/>
            <w:color w:val="ed5100"/>
            <w:sz w:val="16"/>
            <w:szCs w:val="16"/>
            <w:highlight w:val="white"/>
            <w:rtl w:val="0"/>
          </w:rPr>
          <w:t xml:space="preserve">CHF BC policy templates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. They also have </w:t>
      </w:r>
      <w:hyperlink r:id="rId9">
        <w:r w:rsidDel="00000000" w:rsidR="00000000" w:rsidRPr="00000000">
          <w:rPr>
            <w:b w:val="1"/>
            <w:color w:val="ed5100"/>
            <w:sz w:val="16"/>
            <w:szCs w:val="16"/>
            <w:highlight w:val="white"/>
            <w:rtl w:val="0"/>
          </w:rPr>
          <w:t xml:space="preserve">discussion boards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 where  policy information can be gleaned.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CHF Canada have useful publications at </w:t>
      </w:r>
      <w:hyperlink r:id="rId10">
        <w:r w:rsidDel="00000000" w:rsidR="00000000" w:rsidRPr="00000000">
          <w:rPr>
            <w:b w:val="1"/>
            <w:color w:val="ed5100"/>
            <w:sz w:val="16"/>
            <w:szCs w:val="16"/>
            <w:highlight w:val="white"/>
            <w:rtl w:val="0"/>
          </w:rPr>
          <w:t xml:space="preserve">Running Your Housing Co-op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 and a </w:t>
      </w:r>
      <w:hyperlink r:id="rId11">
        <w:r w:rsidDel="00000000" w:rsidR="00000000" w:rsidRPr="00000000">
          <w:rPr>
            <w:b w:val="1"/>
            <w:color w:val="ed5100"/>
            <w:sz w:val="16"/>
            <w:szCs w:val="16"/>
            <w:highlight w:val="white"/>
            <w:rtl w:val="0"/>
          </w:rPr>
          <w:t xml:space="preserve">Glossary of Co-op Housing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 words.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5 Criteria for making policy: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Simple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 (30% of the population is functionally illiterate)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Legal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 (has to follow the laws of the land, Co-op Act and Rules)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Fair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 (treats every member the same way)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Balanced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 (considers the interest/needs/wishes of the individual as well as the demands/wishes/wants of the collective)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Workable/enforceable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 (have to be able to execute it)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16"/>
        <w:szCs w:val="1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chfcanada.coop/eng/pages2007/glossary.asp" TargetMode="External"/><Relationship Id="rId10" Type="http://schemas.openxmlformats.org/officeDocument/2006/relationships/hyperlink" Target="http://www.chfcanada.coop/eng/pages2007/resources_coop.asp" TargetMode="External"/><Relationship Id="rId9" Type="http://schemas.openxmlformats.org/officeDocument/2006/relationships/hyperlink" Target="http://www.chf.bc.ca/pages/bctalkforum.asp?id=10" TargetMode="External"/><Relationship Id="rId5" Type="http://schemas.openxmlformats.org/officeDocument/2006/relationships/hyperlink" Target="http://www.qp.gov.bc.ca/statreg/stat/C/99028_01.htm" TargetMode="External"/><Relationship Id="rId6" Type="http://schemas.openxmlformats.org/officeDocument/2006/relationships/hyperlink" Target="http://viewcourt.vcn.bc.ca/rules" TargetMode="External"/><Relationship Id="rId7" Type="http://schemas.openxmlformats.org/officeDocument/2006/relationships/hyperlink" Target="http://viewcourt.vcn.bc.ca/occupancy_agreement" TargetMode="External"/><Relationship Id="rId8" Type="http://schemas.openxmlformats.org/officeDocument/2006/relationships/hyperlink" Target="http://www.chf.bc.ca/pages/policies.asp" TargetMode="External"/></Relationships>
</file>